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92" w:rsidRDefault="00902D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02D92" w:rsidRDefault="00902D92">
      <w:pPr>
        <w:pStyle w:val="ConsPlusNormal"/>
        <w:jc w:val="both"/>
        <w:outlineLvl w:val="0"/>
      </w:pPr>
    </w:p>
    <w:p w:rsidR="00902D92" w:rsidRDefault="00902D92">
      <w:pPr>
        <w:pStyle w:val="ConsPlusNormal"/>
        <w:outlineLvl w:val="0"/>
      </w:pPr>
      <w:r>
        <w:t>Зарегистрировано в Минюсте России 7 августа 2017 г. N 47696</w:t>
      </w:r>
    </w:p>
    <w:p w:rsidR="00902D92" w:rsidRDefault="00902D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02D92" w:rsidRDefault="00902D92">
      <w:pPr>
        <w:pStyle w:val="ConsPlusTitle"/>
        <w:jc w:val="both"/>
      </w:pPr>
    </w:p>
    <w:p w:rsidR="00902D92" w:rsidRDefault="00902D92">
      <w:pPr>
        <w:pStyle w:val="ConsPlusTitle"/>
        <w:jc w:val="center"/>
      </w:pPr>
      <w:r>
        <w:t>ПРИКАЗ</w:t>
      </w:r>
    </w:p>
    <w:p w:rsidR="00902D92" w:rsidRDefault="00902D92">
      <w:pPr>
        <w:pStyle w:val="ConsPlusTitle"/>
        <w:jc w:val="center"/>
      </w:pPr>
      <w:r>
        <w:t>от 17 июля 2017 г. N 668</w:t>
      </w:r>
    </w:p>
    <w:p w:rsidR="00902D92" w:rsidRDefault="00902D92">
      <w:pPr>
        <w:pStyle w:val="ConsPlusTitle"/>
        <w:jc w:val="both"/>
      </w:pPr>
    </w:p>
    <w:p w:rsidR="00902D92" w:rsidRDefault="00902D92">
      <w:pPr>
        <w:pStyle w:val="ConsPlusTitle"/>
        <w:jc w:val="center"/>
      </w:pPr>
      <w:r>
        <w:t>ОБ УТВЕРЖДЕНИИ</w:t>
      </w:r>
    </w:p>
    <w:p w:rsidR="00902D92" w:rsidRDefault="00902D9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02D92" w:rsidRDefault="00902D9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02D92" w:rsidRDefault="00902D92">
      <w:pPr>
        <w:pStyle w:val="ConsPlusTitle"/>
        <w:jc w:val="center"/>
      </w:pPr>
      <w:r>
        <w:t>35.03.08 ВОДНЫЕ БИОРЕСУРСЫ И АКВАКУЛЬТУРА</w:t>
      </w:r>
    </w:p>
    <w:p w:rsidR="00902D92" w:rsidRDefault="00902D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D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D92" w:rsidRDefault="00902D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D92" w:rsidRDefault="00902D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D92" w:rsidRDefault="00902D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D92" w:rsidRDefault="00902D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02D92" w:rsidRDefault="00902D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D92" w:rsidRDefault="00902D92">
            <w:pPr>
              <w:pStyle w:val="ConsPlusNormal"/>
            </w:pPr>
          </w:p>
        </w:tc>
      </w:tr>
    </w:tbl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35.03.08 Водные биоресурсы и аквакультура (далее - стандарт).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35.03.08 Водные биоресурсы и аквакультура (уровень бакалавриата), утвержденным приказом Министерства образования и науки Российской Федерации от 3 декабря 2015 г. N 1411 (зарегистрирован Министерством юстиции Российской Федерации 31 декабря 2015 г., регистрационный N 40500), прекращается 31 декабря 2018 года.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right"/>
      </w:pPr>
      <w:r>
        <w:t>Министр</w:t>
      </w:r>
    </w:p>
    <w:p w:rsidR="00902D92" w:rsidRDefault="00902D92">
      <w:pPr>
        <w:pStyle w:val="ConsPlusNormal"/>
        <w:jc w:val="right"/>
      </w:pPr>
      <w:r>
        <w:t>О.Ю.ВАСИЛЬЕВА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right"/>
        <w:outlineLvl w:val="0"/>
      </w:pPr>
      <w:r>
        <w:t>Приложение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right"/>
      </w:pPr>
      <w:r>
        <w:t>Утвержден</w:t>
      </w:r>
    </w:p>
    <w:p w:rsidR="00902D92" w:rsidRDefault="00902D92">
      <w:pPr>
        <w:pStyle w:val="ConsPlusNormal"/>
        <w:jc w:val="right"/>
      </w:pPr>
      <w:r>
        <w:t>приказом Министерства образования</w:t>
      </w:r>
    </w:p>
    <w:p w:rsidR="00902D92" w:rsidRDefault="00902D92">
      <w:pPr>
        <w:pStyle w:val="ConsPlusNormal"/>
        <w:jc w:val="right"/>
      </w:pPr>
      <w:r>
        <w:t>и науки Российской Федерации</w:t>
      </w:r>
    </w:p>
    <w:p w:rsidR="00902D92" w:rsidRDefault="00902D92">
      <w:pPr>
        <w:pStyle w:val="ConsPlusNormal"/>
        <w:jc w:val="right"/>
      </w:pPr>
      <w:r>
        <w:t>от 17 июля 2017 г. N 668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902D92" w:rsidRDefault="00902D9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02D92" w:rsidRDefault="00902D92">
      <w:pPr>
        <w:pStyle w:val="ConsPlusTitle"/>
        <w:jc w:val="center"/>
      </w:pPr>
      <w:r>
        <w:t>35.03.08 ВОДНЫЕ БИОРЕСУРСЫ И АКВАКУЛЬТУРА</w:t>
      </w:r>
    </w:p>
    <w:p w:rsidR="00902D92" w:rsidRDefault="00902D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02D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D92" w:rsidRDefault="00902D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D92" w:rsidRDefault="00902D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2D92" w:rsidRDefault="00902D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2D92" w:rsidRDefault="00902D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02D92" w:rsidRDefault="00902D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D92" w:rsidRDefault="00902D92">
            <w:pPr>
              <w:pStyle w:val="ConsPlusNormal"/>
            </w:pPr>
          </w:p>
        </w:tc>
      </w:tr>
    </w:tbl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jc w:val="center"/>
        <w:outlineLvl w:val="1"/>
      </w:pPr>
      <w:r>
        <w:t>I. Общие положения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35.03.08 Водные биоресурсы и аквакультура (далее соответственно - программа бакалавриата, направление подготовки).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5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02D92" w:rsidRDefault="00902D92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902D92" w:rsidRDefault="00902D92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6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15 Рыбоводство и рыболовство (в сфере рационального использования и охраны водных биологических ресурсов, включая среду их обитания, в сфере искусственного воспроизводства и товарного выращивания гидробионтов, в сфере обеспечения экологической безопасности рыболовства и продукции аквакультуры, в том числе оценки экологического состояния и рыбохозяйственного значения естественных и искусственных водоемов, в сфере рыбохозяйственного и естественных и искусственных водоемов, в сфере рыбохозяйственного и экологического мониторинга антропогенного воздействия на водные биоресурсы, рыбохозяйственные водоемы, в сфере рыбохозяйственной и экологической экспертизы, в сфере надзора за рыбохозяйственной деятельностью).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02D92" w:rsidRDefault="00902D92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lastRenderedPageBreak/>
        <w:t>проектный.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02D92" w:rsidRDefault="00902D92">
      <w:pPr>
        <w:pStyle w:val="ConsPlusNormal"/>
        <w:spacing w:before="20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02D92" w:rsidRDefault="00902D92">
      <w:pPr>
        <w:pStyle w:val="ConsPlusNormal"/>
        <w:spacing w:before="20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902D92" w:rsidRDefault="00902D92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center"/>
      </w:pPr>
      <w:r>
        <w:t>Структура и объем программы бакалавриата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right"/>
      </w:pPr>
      <w:r>
        <w:t>Таблица</w:t>
      </w:r>
    </w:p>
    <w:p w:rsidR="00902D92" w:rsidRDefault="00902D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4012"/>
        <w:gridCol w:w="3610"/>
      </w:tblGrid>
      <w:tr w:rsidR="00902D92">
        <w:tc>
          <w:tcPr>
            <w:tcW w:w="5462" w:type="dxa"/>
            <w:gridSpan w:val="2"/>
          </w:tcPr>
          <w:p w:rsidR="00902D92" w:rsidRDefault="00902D9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10" w:type="dxa"/>
          </w:tcPr>
          <w:p w:rsidR="00902D92" w:rsidRDefault="00902D9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02D92">
        <w:tc>
          <w:tcPr>
            <w:tcW w:w="1450" w:type="dxa"/>
          </w:tcPr>
          <w:p w:rsidR="00902D92" w:rsidRDefault="00902D92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012" w:type="dxa"/>
          </w:tcPr>
          <w:p w:rsidR="00902D92" w:rsidRDefault="00902D9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902D92" w:rsidRDefault="00902D92">
            <w:pPr>
              <w:pStyle w:val="ConsPlusNormal"/>
              <w:jc w:val="center"/>
            </w:pPr>
            <w:r>
              <w:t>не менее 171</w:t>
            </w:r>
          </w:p>
        </w:tc>
      </w:tr>
      <w:tr w:rsidR="00902D92">
        <w:tc>
          <w:tcPr>
            <w:tcW w:w="1450" w:type="dxa"/>
          </w:tcPr>
          <w:p w:rsidR="00902D92" w:rsidRDefault="00902D92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012" w:type="dxa"/>
          </w:tcPr>
          <w:p w:rsidR="00902D92" w:rsidRDefault="00902D92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902D92" w:rsidRDefault="00902D92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902D92">
        <w:tc>
          <w:tcPr>
            <w:tcW w:w="1450" w:type="dxa"/>
          </w:tcPr>
          <w:p w:rsidR="00902D92" w:rsidRDefault="00902D92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012" w:type="dxa"/>
          </w:tcPr>
          <w:p w:rsidR="00902D92" w:rsidRDefault="00902D9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902D92" w:rsidRDefault="00902D9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902D92">
        <w:tc>
          <w:tcPr>
            <w:tcW w:w="5462" w:type="dxa"/>
            <w:gridSpan w:val="2"/>
          </w:tcPr>
          <w:p w:rsidR="00902D92" w:rsidRDefault="00902D92">
            <w:pPr>
              <w:pStyle w:val="ConsPlusNormal"/>
              <w:ind w:firstLine="283"/>
            </w:pPr>
            <w:r>
              <w:t>Объем программы бакалавриата</w:t>
            </w:r>
          </w:p>
        </w:tc>
        <w:tc>
          <w:tcPr>
            <w:tcW w:w="3610" w:type="dxa"/>
          </w:tcPr>
          <w:p w:rsidR="00902D92" w:rsidRDefault="00902D92">
            <w:pPr>
              <w:pStyle w:val="ConsPlusNormal"/>
              <w:jc w:val="center"/>
            </w:pPr>
            <w:r>
              <w:t>240</w:t>
            </w:r>
          </w:p>
        </w:tc>
      </w:tr>
    </w:tbl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02D92" w:rsidRDefault="00902D92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lastRenderedPageBreak/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902D92" w:rsidRDefault="00902D92">
      <w:pPr>
        <w:pStyle w:val="ConsPlusNormal"/>
        <w:spacing w:before="200"/>
        <w:ind w:firstLine="540"/>
        <w:jc w:val="both"/>
      </w:pPr>
      <w:bookmarkStart w:id="9" w:name="P119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технологическая практика.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2.6. Организация: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02D92" w:rsidRDefault="00902D9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02D92" w:rsidRDefault="00902D9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lastRenderedPageBreak/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02D92" w:rsidRDefault="00902D92">
      <w:pPr>
        <w:pStyle w:val="ConsPlusTitle"/>
        <w:jc w:val="center"/>
      </w:pPr>
      <w:r>
        <w:t>программы бакалавриата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02D92" w:rsidRDefault="00902D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902D92">
        <w:tc>
          <w:tcPr>
            <w:tcW w:w="2608" w:type="dxa"/>
          </w:tcPr>
          <w:p w:rsidR="00902D92" w:rsidRDefault="00902D9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02D92">
        <w:tc>
          <w:tcPr>
            <w:tcW w:w="2608" w:type="dxa"/>
            <w:vAlign w:val="center"/>
          </w:tcPr>
          <w:p w:rsidR="00902D92" w:rsidRDefault="00902D9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02D92">
        <w:tc>
          <w:tcPr>
            <w:tcW w:w="2608" w:type="dxa"/>
            <w:vAlign w:val="center"/>
          </w:tcPr>
          <w:p w:rsidR="00902D92" w:rsidRDefault="00902D9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02D92">
        <w:tc>
          <w:tcPr>
            <w:tcW w:w="2608" w:type="dxa"/>
            <w:vAlign w:val="center"/>
          </w:tcPr>
          <w:p w:rsidR="00902D92" w:rsidRDefault="00902D9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02D92">
        <w:tc>
          <w:tcPr>
            <w:tcW w:w="2608" w:type="dxa"/>
            <w:vAlign w:val="center"/>
          </w:tcPr>
          <w:p w:rsidR="00902D92" w:rsidRDefault="00902D92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02D92">
        <w:tc>
          <w:tcPr>
            <w:tcW w:w="2608" w:type="dxa"/>
            <w:vAlign w:val="center"/>
          </w:tcPr>
          <w:p w:rsidR="00902D92" w:rsidRDefault="00902D9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02D92">
        <w:tc>
          <w:tcPr>
            <w:tcW w:w="2608" w:type="dxa"/>
            <w:vMerge w:val="restart"/>
            <w:vAlign w:val="center"/>
          </w:tcPr>
          <w:p w:rsidR="00902D92" w:rsidRDefault="00902D9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02D92">
        <w:tc>
          <w:tcPr>
            <w:tcW w:w="2608" w:type="dxa"/>
            <w:vMerge/>
          </w:tcPr>
          <w:p w:rsidR="00902D92" w:rsidRDefault="00902D92">
            <w:pPr>
              <w:pStyle w:val="ConsPlusNormal"/>
            </w:pPr>
          </w:p>
        </w:tc>
        <w:tc>
          <w:tcPr>
            <w:tcW w:w="6463" w:type="dxa"/>
          </w:tcPr>
          <w:p w:rsidR="00902D92" w:rsidRDefault="00902D9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02D9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  <w:vAlign w:val="center"/>
          </w:tcPr>
          <w:p w:rsidR="00902D92" w:rsidRDefault="00902D9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02D92" w:rsidRDefault="00902D92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02D9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02D92" w:rsidRDefault="00902D92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902D9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  <w:vAlign w:val="center"/>
          </w:tcPr>
          <w:p w:rsidR="00902D92" w:rsidRDefault="00902D9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02D92" w:rsidRDefault="00902D92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902D9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02D92" w:rsidRDefault="00902D92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902D92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902D92" w:rsidRDefault="00902D92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  <w:tcBorders>
              <w:bottom w:val="nil"/>
            </w:tcBorders>
          </w:tcPr>
          <w:p w:rsidR="00902D92" w:rsidRDefault="00902D92">
            <w:pPr>
              <w:pStyle w:val="ConsPlusNormal"/>
              <w:jc w:val="both"/>
            </w:pPr>
            <w:r>
              <w:t xml:space="preserve">УК-10. Способен формировать нетерпимое отношение к </w:t>
            </w:r>
            <w:r>
              <w:lastRenderedPageBreak/>
              <w:t>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02D9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02D92" w:rsidRDefault="00902D9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ОПК-1. Способен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ОПК-2. Способен использовать нормативные правовые акты и оформлять специальную документацию в профессиональной деятельности;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ОПК-3. Способен создавать и поддерживать безопасные условия выполнения производственных процессов;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ОПК-4. Способен реализовывать современные технологии и обосновывать их применение в профессиональной деятельности;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ОПК-5. Способен к участию в проведении экспериментальных исследований в профессиональной деятельности;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ОПК-6. Способен использовать базовые знания экономики и определять экономическую эффективность в профессиональной деятельности;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902D92" w:rsidRDefault="00902D92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02D92" w:rsidRDefault="00902D92">
      <w:pPr>
        <w:pStyle w:val="ConsPlusNormal"/>
        <w:ind w:firstLine="540"/>
        <w:jc w:val="both"/>
      </w:pPr>
    </w:p>
    <w:p w:rsidR="00902D92" w:rsidRDefault="00902D9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02D92" w:rsidRDefault="00902D92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lastRenderedPageBreak/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02D92" w:rsidRDefault="00902D92">
      <w:pPr>
        <w:pStyle w:val="ConsPlusNormal"/>
        <w:ind w:firstLine="540"/>
        <w:jc w:val="both"/>
      </w:pPr>
    </w:p>
    <w:p w:rsidR="00902D92" w:rsidRDefault="00902D9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02D92" w:rsidRDefault="00902D92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и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02D92" w:rsidRDefault="00902D92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</w:t>
      </w:r>
      <w:r>
        <w:lastRenderedPageBreak/>
        <w:t>Организации должна дополнительно обеспечивать: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</w:t>
      </w:r>
      <w:r>
        <w:lastRenderedPageBreak/>
        <w:t>определяется в рабочих программах дисциплин (модулей) и подлежит обновлению (при необходимости).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</w:t>
      </w:r>
      <w:r>
        <w:lastRenderedPageBreak/>
        <w:t>и (или) физических лиц, включая педагогических работников Организации.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902D92" w:rsidRDefault="00902D9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02D92" w:rsidRDefault="00902D92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right"/>
        <w:outlineLvl w:val="1"/>
      </w:pPr>
      <w:r>
        <w:t>Приложение</w:t>
      </w:r>
    </w:p>
    <w:p w:rsidR="00902D92" w:rsidRDefault="00902D92">
      <w:pPr>
        <w:pStyle w:val="ConsPlusNormal"/>
        <w:jc w:val="right"/>
      </w:pPr>
      <w:r>
        <w:t>к федеральному государственному</w:t>
      </w:r>
    </w:p>
    <w:p w:rsidR="00902D92" w:rsidRDefault="00902D92">
      <w:pPr>
        <w:pStyle w:val="ConsPlusNormal"/>
        <w:jc w:val="right"/>
      </w:pPr>
      <w:r>
        <w:t>образовательному стандарту высшего</w:t>
      </w:r>
    </w:p>
    <w:p w:rsidR="00902D92" w:rsidRDefault="00902D92">
      <w:pPr>
        <w:pStyle w:val="ConsPlusNormal"/>
        <w:jc w:val="right"/>
      </w:pPr>
      <w:r>
        <w:t>образования - бакалавриат</w:t>
      </w:r>
    </w:p>
    <w:p w:rsidR="00902D92" w:rsidRDefault="00902D92">
      <w:pPr>
        <w:pStyle w:val="ConsPlusNormal"/>
        <w:jc w:val="right"/>
      </w:pPr>
      <w:r>
        <w:t>по направлению подготовки 35.03.08</w:t>
      </w:r>
    </w:p>
    <w:p w:rsidR="00902D92" w:rsidRDefault="00902D92">
      <w:pPr>
        <w:pStyle w:val="ConsPlusNormal"/>
        <w:jc w:val="right"/>
      </w:pPr>
      <w:r>
        <w:t>Водные биоресурсы и аквакультура,</w:t>
      </w:r>
    </w:p>
    <w:p w:rsidR="00902D92" w:rsidRDefault="00902D92">
      <w:pPr>
        <w:pStyle w:val="ConsPlusNormal"/>
        <w:jc w:val="right"/>
      </w:pPr>
      <w:r>
        <w:t>утвержденному приказом</w:t>
      </w:r>
    </w:p>
    <w:p w:rsidR="00902D92" w:rsidRDefault="00902D92">
      <w:pPr>
        <w:pStyle w:val="ConsPlusNormal"/>
        <w:jc w:val="right"/>
      </w:pPr>
      <w:r>
        <w:t>Министерства образования</w:t>
      </w:r>
    </w:p>
    <w:p w:rsidR="00902D92" w:rsidRDefault="00902D92">
      <w:pPr>
        <w:pStyle w:val="ConsPlusNormal"/>
        <w:jc w:val="right"/>
      </w:pPr>
      <w:r>
        <w:t>и науки Российской Федерации</w:t>
      </w:r>
    </w:p>
    <w:p w:rsidR="00902D92" w:rsidRDefault="00902D92">
      <w:pPr>
        <w:pStyle w:val="ConsPlusNormal"/>
        <w:jc w:val="right"/>
      </w:pPr>
      <w:r>
        <w:t>от 17 июля 2017 г. N 668</w:t>
      </w: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Title"/>
        <w:jc w:val="center"/>
      </w:pPr>
      <w:bookmarkStart w:id="10" w:name="P270"/>
      <w:bookmarkEnd w:id="10"/>
      <w:r>
        <w:t>ПЕРЕЧЕНЬ</w:t>
      </w:r>
    </w:p>
    <w:p w:rsidR="00902D92" w:rsidRDefault="00902D92">
      <w:pPr>
        <w:pStyle w:val="ConsPlusTitle"/>
        <w:jc w:val="center"/>
      </w:pPr>
      <w:r>
        <w:t>ПРОФЕССИОНАЛЬНЫХ СТАНДАРТОВ, СООТВЕТСТВУЮЩИХ</w:t>
      </w:r>
    </w:p>
    <w:p w:rsidR="00902D92" w:rsidRDefault="00902D9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02D92" w:rsidRDefault="00902D92">
      <w:pPr>
        <w:pStyle w:val="ConsPlusTitle"/>
        <w:jc w:val="center"/>
      </w:pPr>
      <w:r>
        <w:t>ПРОГРАММУ БАКАЛАВРИАТА ПО НАПРАВЛЕНИЮ ПОДГОТОВКИ</w:t>
      </w:r>
    </w:p>
    <w:p w:rsidR="00902D92" w:rsidRDefault="00902D92">
      <w:pPr>
        <w:pStyle w:val="ConsPlusTitle"/>
        <w:jc w:val="center"/>
      </w:pPr>
      <w:r>
        <w:t>35.03.08 ВОДНЫЕ БИОРЕСУРСЫ И АКВАКУЛЬТУРА</w:t>
      </w:r>
    </w:p>
    <w:p w:rsidR="00902D92" w:rsidRDefault="00902D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56"/>
        <w:gridCol w:w="6123"/>
      </w:tblGrid>
      <w:tr w:rsidR="00902D92">
        <w:tc>
          <w:tcPr>
            <w:tcW w:w="680" w:type="dxa"/>
          </w:tcPr>
          <w:p w:rsidR="00902D92" w:rsidRDefault="00902D9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56" w:type="dxa"/>
          </w:tcPr>
          <w:p w:rsidR="00902D92" w:rsidRDefault="00902D9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23" w:type="dxa"/>
          </w:tcPr>
          <w:p w:rsidR="00902D92" w:rsidRDefault="00902D9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02D92">
        <w:tc>
          <w:tcPr>
            <w:tcW w:w="9059" w:type="dxa"/>
            <w:gridSpan w:val="3"/>
          </w:tcPr>
          <w:p w:rsidR="00902D92" w:rsidRDefault="00902D92">
            <w:pPr>
              <w:pStyle w:val="ConsPlusNormal"/>
              <w:jc w:val="center"/>
              <w:outlineLvl w:val="2"/>
            </w:pPr>
            <w:r>
              <w:t>15 Рыбоводство и рыболовство</w:t>
            </w:r>
          </w:p>
        </w:tc>
      </w:tr>
      <w:tr w:rsidR="00902D92">
        <w:tc>
          <w:tcPr>
            <w:tcW w:w="680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56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t>15.004</w:t>
            </w:r>
          </w:p>
        </w:tc>
        <w:tc>
          <w:tcPr>
            <w:tcW w:w="6123" w:type="dxa"/>
          </w:tcPr>
          <w:p w:rsidR="00902D92" w:rsidRDefault="00902D9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"Инженер-рыбовод", утвержденный приказом Министерства труда и социальной защиты Российской Федерации от 7 апреля 2014 г. N 213н (зарегистрирован Министерством юстиции Российской Федерации 30 мая 2014 г., регистрационный N 32504),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02D92">
        <w:tc>
          <w:tcPr>
            <w:tcW w:w="680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56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123" w:type="dxa"/>
          </w:tcPr>
          <w:p w:rsidR="00902D92" w:rsidRDefault="00902D9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</w:t>
            </w:r>
            <w:r>
              <w:lastRenderedPageBreak/>
              <w:t>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02D92">
        <w:tc>
          <w:tcPr>
            <w:tcW w:w="680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56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123" w:type="dxa"/>
          </w:tcPr>
          <w:p w:rsidR="00902D92" w:rsidRDefault="00902D9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02D92">
        <w:tc>
          <w:tcPr>
            <w:tcW w:w="680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56" w:type="dxa"/>
            <w:vAlign w:val="center"/>
          </w:tcPr>
          <w:p w:rsidR="00902D92" w:rsidRDefault="00902D92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123" w:type="dxa"/>
          </w:tcPr>
          <w:p w:rsidR="00902D92" w:rsidRDefault="00902D9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</w:tbl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jc w:val="both"/>
      </w:pPr>
    </w:p>
    <w:p w:rsidR="00902D92" w:rsidRDefault="00902D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2CB" w:rsidRDefault="004532CB">
      <w:bookmarkStart w:id="11" w:name="_GoBack"/>
      <w:bookmarkEnd w:id="11"/>
    </w:p>
    <w:sectPr w:rsidR="004532CB" w:rsidSect="0073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92"/>
    <w:rsid w:val="004532CB"/>
    <w:rsid w:val="0090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C18A-1F24-4675-9CB4-D0645A82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02D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02D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95322ADACD4DB27D3AF3F00281E8D330E8ABF622CF27B5C233CD7E0B5F60459C36FE4DF2918A82286EC858D7E95FB9333E03A3F41C20Cw5X7J" TargetMode="External"/><Relationship Id="rId13" Type="http://schemas.openxmlformats.org/officeDocument/2006/relationships/hyperlink" Target="consultantplus://offline/ref=9CA95322ADACD4DB27D3AF3F00281E8D330881BB622DF27B5C233CD7E0B5F60459C36FE4DF291BAF2386EC858D7E95FB9333E03A3F41C20Cw5X7J" TargetMode="External"/><Relationship Id="rId18" Type="http://schemas.openxmlformats.org/officeDocument/2006/relationships/hyperlink" Target="consultantplus://offline/ref=9CA95322ADACD4DB27D3AF3F00281E8D340D80BA622DF27B5C233CD7E0B5F60459C36FE4DF2919A92686EC858D7E95FB9333E03A3F41C20Cw5X7J" TargetMode="External"/><Relationship Id="rId26" Type="http://schemas.openxmlformats.org/officeDocument/2006/relationships/hyperlink" Target="consultantplus://offline/ref=9CA95322ADACD4DB27D3AF3F00281E8D360E8FB16D2FF27B5C233CD7E0B5F6044BC337E8DD2004AE2093BAD4CBw2X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A95322ADACD4DB27D3AF3F00281E8D34028CB86D26F27B5C233CD7E0B5F60459C36FE4DF291DAD2186EC858D7E95FB9333E03A3F41C20Cw5X7J" TargetMode="External"/><Relationship Id="rId34" Type="http://schemas.openxmlformats.org/officeDocument/2006/relationships/hyperlink" Target="consultantplus://offline/ref=9CA95322ADACD4DB27D3AF3F00281E8D350B88BD6A2BF27B5C233CD7E0B5F60459C36FE4DF291AAE2F86EC858D7E95FB9333E03A3F41C20Cw5X7J" TargetMode="External"/><Relationship Id="rId7" Type="http://schemas.openxmlformats.org/officeDocument/2006/relationships/hyperlink" Target="consultantplus://offline/ref=9CA95322ADACD4DB27D3AF3F00281E8D330881BB622DF27B5C233CD7E0B5F60459C36FE4DF291BAF2386EC858D7E95FB9333E03A3F41C20Cw5X7J" TargetMode="External"/><Relationship Id="rId12" Type="http://schemas.openxmlformats.org/officeDocument/2006/relationships/hyperlink" Target="consultantplus://offline/ref=9CA95322ADACD4DB27D3AF3F00281E8D340D80BA622DF27B5C233CD7E0B5F60459C36FE4DF2919A82E86EC858D7E95FB9333E03A3F41C20Cw5X7J" TargetMode="External"/><Relationship Id="rId17" Type="http://schemas.openxmlformats.org/officeDocument/2006/relationships/hyperlink" Target="consultantplus://offline/ref=9CA95322ADACD4DB27D3AF3F00281E8D330881BB622DF27B5C233CD7E0B5F60459C36FE4DF291BAF2386EC858D7E95FB9333E03A3F41C20Cw5X7J" TargetMode="External"/><Relationship Id="rId25" Type="http://schemas.openxmlformats.org/officeDocument/2006/relationships/hyperlink" Target="consultantplus://offline/ref=9CA95322ADACD4DB27D3AF3F00281E8D340D80BA622DF27B5C233CD7E0B5F60459C36FE4DF2919A92286EC858D7E95FB9333E03A3F41C20Cw5X7J" TargetMode="External"/><Relationship Id="rId33" Type="http://schemas.openxmlformats.org/officeDocument/2006/relationships/hyperlink" Target="consultantplus://offline/ref=9CA95322ADACD4DB27D3AF3F00281E8D350B88BD6828F27B5C233CD7E0B5F60459C36FE4DF291AAE2F86EC858D7E95FB9333E03A3F41C20Cw5X7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A95322ADACD4DB27D3AF3F00281E8D350B8DBF682FF27B5C233CD7E0B5F60459C36FE4DF291AAA2186EC858D7E95FB9333E03A3F41C20Cw5X7J" TargetMode="External"/><Relationship Id="rId20" Type="http://schemas.openxmlformats.org/officeDocument/2006/relationships/hyperlink" Target="consultantplus://offline/ref=9CA95322ADACD4DB27D3AF3F00281E8D34028CB86D26F27B5C233CD7E0B5F60459C36FE4DF291DAC2186EC858D7E95FB9333E03A3F41C20Cw5X7J" TargetMode="External"/><Relationship Id="rId29" Type="http://schemas.openxmlformats.org/officeDocument/2006/relationships/hyperlink" Target="consultantplus://offline/ref=9CA95322ADACD4DB27D3AF3F00281E8D33098FB06A27F27B5C233CD7E0B5F6044BC337E8DD2004AE2093BAD4CBw2X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A95322ADACD4DB27D3AF3F00281E8D340D80BA622DF27B5C233CD7E0B5F60459C36FE4DF2919A82E86EC858D7E95FB9333E03A3F41C20Cw5X7J" TargetMode="External"/><Relationship Id="rId11" Type="http://schemas.openxmlformats.org/officeDocument/2006/relationships/hyperlink" Target="consultantplus://offline/ref=9CA95322ADACD4DB27D3AF3F00281E8D34028CB86D26F27B5C233CD7E0B5F60459C36FE4DF291DAC2386EC858D7E95FB9333E03A3F41C20Cw5X7J" TargetMode="External"/><Relationship Id="rId24" Type="http://schemas.openxmlformats.org/officeDocument/2006/relationships/hyperlink" Target="consultantplus://offline/ref=9CA95322ADACD4DB27D3AF3F00281E8D350B8DBF682FF27B5C233CD7E0B5F60459C36FE4DF291AAE2086EC858D7E95FB9333E03A3F41C20Cw5X7J" TargetMode="External"/><Relationship Id="rId32" Type="http://schemas.openxmlformats.org/officeDocument/2006/relationships/hyperlink" Target="consultantplus://offline/ref=9CA95322ADACD4DB27D3AF3F00281E8D340D80BA622DF27B5C233CD7E0B5F60459C36FE4DF2919A62786EC858D7E95FB9333E03A3F41C20Cw5X7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CA95322ADACD4DB27D3AF3F00281E8D34028CB86D26F27B5C233CD7E0B5F60459C36FE4DF291DAC2386EC858D7E95FB9333E03A3F41C20Cw5X7J" TargetMode="External"/><Relationship Id="rId15" Type="http://schemas.openxmlformats.org/officeDocument/2006/relationships/hyperlink" Target="consultantplus://offline/ref=9CA95322ADACD4DB27D3AF3F00281E8D33098DBE622BF27B5C233CD7E0B5F60459C36FE4DF2918AA2F86EC858D7E95FB9333E03A3F41C20Cw5X7J" TargetMode="External"/><Relationship Id="rId23" Type="http://schemas.openxmlformats.org/officeDocument/2006/relationships/hyperlink" Target="consultantplus://offline/ref=9CA95322ADACD4DB27D3AF3F00281E8D34028CB86D26F27B5C233CD7E0B5F60459C36FE4DF291DAA2286EC858D7E95FB9333E03A3F41C20Cw5X7J" TargetMode="External"/><Relationship Id="rId28" Type="http://schemas.openxmlformats.org/officeDocument/2006/relationships/hyperlink" Target="consultantplus://offline/ref=9CA95322ADACD4DB27D3AF3F00281E8D340D80BA622DF27B5C233CD7E0B5F60459C36FE4DF2919A92F86EC858D7E95FB9333E03A3F41C20Cw5X7J" TargetMode="External"/><Relationship Id="rId36" Type="http://schemas.openxmlformats.org/officeDocument/2006/relationships/hyperlink" Target="consultantplus://offline/ref=9CA95322ADACD4DB27D3AF3F00281E8D36038BB0682BF27B5C233CD7E0B5F60459C36FE4DF291AAE2F86EC858D7E95FB9333E03A3F41C20Cw5X7J" TargetMode="External"/><Relationship Id="rId10" Type="http://schemas.openxmlformats.org/officeDocument/2006/relationships/hyperlink" Target="consultantplus://offline/ref=9CA95322ADACD4DB27D3AF3F00281E8D36038BBD6829F27B5C233CD7E0B5F60459C36FE4DF291AAF2586EC858D7E95FB9333E03A3F41C20Cw5X7J" TargetMode="External"/><Relationship Id="rId19" Type="http://schemas.openxmlformats.org/officeDocument/2006/relationships/hyperlink" Target="consultantplus://offline/ref=9CA95322ADACD4DB27D3AF3F00281E8D340D80BA622DF27B5C233CD7E0B5F60459C36FE4DF2919A92486EC858D7E95FB9333E03A3F41C20Cw5X7J" TargetMode="External"/><Relationship Id="rId31" Type="http://schemas.openxmlformats.org/officeDocument/2006/relationships/hyperlink" Target="consultantplus://offline/ref=9CA95322ADACD4DB27D3AF3F00281E8D330E8EBB6328F27B5C233CD7E0B5F60459C36FE4DF291FAE2286EC858D7E95FB9333E03A3F41C20Cw5X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CA95322ADACD4DB27D3AF3F00281E8D35028EBE6B27F27B5C233CD7E0B5F60459C36FE4DF291AAA2486EC858D7E95FB9333E03A3F41C20Cw5X7J" TargetMode="External"/><Relationship Id="rId14" Type="http://schemas.openxmlformats.org/officeDocument/2006/relationships/hyperlink" Target="consultantplus://offline/ref=9CA95322ADACD4DB27D3AF3F00281E8D330E8ABF622CF27B5C233CD7E0B5F60459C36FE4DF2918A82286EC858D7E95FB9333E03A3F41C20Cw5X7J" TargetMode="External"/><Relationship Id="rId22" Type="http://schemas.openxmlformats.org/officeDocument/2006/relationships/hyperlink" Target="consultantplus://offline/ref=9CA95322ADACD4DB27D3AF3F00281E8D330E8ABF622CF27B5C233CD7E0B5F60459C36FE4DF2918A82286EC858D7E95FB9333E03A3F41C20Cw5X7J" TargetMode="External"/><Relationship Id="rId27" Type="http://schemas.openxmlformats.org/officeDocument/2006/relationships/hyperlink" Target="consultantplus://offline/ref=9CA95322ADACD4DB27D3AF3F00281E8D340D80BA622DF27B5C233CD7E0B5F60459C36FE4DF2919A92E86EC858D7E95FB9333E03A3F41C20Cw5X7J" TargetMode="External"/><Relationship Id="rId30" Type="http://schemas.openxmlformats.org/officeDocument/2006/relationships/hyperlink" Target="consultantplus://offline/ref=9CA95322ADACD4DB27D3AF3F00281E8D330980BA6A2EF27B5C233CD7E0B5F6044BC337E8DD2004AE2093BAD4CBw2X8J" TargetMode="External"/><Relationship Id="rId35" Type="http://schemas.openxmlformats.org/officeDocument/2006/relationships/hyperlink" Target="consultantplus://offline/ref=9CA95322ADACD4DB27D3AF3F00281E8D350B88BD6E2DF27B5C233CD7E0B5F60459C36FE4DF291AAE2F86EC858D7E95FB9333E03A3F41C20Cw5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2023-06-29T09:23:00Z</dcterms:created>
  <dcterms:modified xsi:type="dcterms:W3CDTF">2023-06-29T09:24:00Z</dcterms:modified>
</cp:coreProperties>
</file>